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29" w:rsidRDefault="00EC7E29" w:rsidP="00EC7E29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C7E29" w:rsidRDefault="00EC7E29" w:rsidP="00EC7E2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обласний заочний конкурс «Лідер року» серед лідерів учнівського</w:t>
      </w:r>
    </w:p>
    <w:p w:rsidR="00EC7E29" w:rsidRDefault="00EC7E29" w:rsidP="00EC7E2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самоврядування професійно-технічних</w:t>
      </w:r>
    </w:p>
    <w:p w:rsidR="00EC7E29" w:rsidRDefault="00EC7E29" w:rsidP="00EC7E29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навчальних закладів</w:t>
      </w:r>
    </w:p>
    <w:p w:rsidR="00EC7E29" w:rsidRDefault="00EC7E29" w:rsidP="00EC7E29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EC7E29" w:rsidRDefault="00EC7E29" w:rsidP="00EC7E29">
      <w:pPr>
        <w:pStyle w:val="a3"/>
        <w:spacing w:line="360" w:lineRule="auto"/>
        <w:ind w:left="0" w:firstLine="900"/>
        <w:rPr>
          <w:sz w:val="28"/>
          <w:szCs w:val="28"/>
          <w:lang w:val="uk-UA"/>
        </w:rPr>
      </w:pPr>
    </w:p>
    <w:p w:rsidR="00EC7E29" w:rsidRDefault="00EC7E29" w:rsidP="00EC7E29">
      <w:pPr>
        <w:numPr>
          <w:ilvl w:val="1"/>
          <w:numId w:val="1"/>
        </w:numPr>
        <w:spacing w:before="30"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Обласний заочний конкурс «Лідер року» серед лідерів учнівського самоврядування професійно-технічних навчальних закладів (далі - конкурс) проводиться з метою виявлення талановитих і обдарованих учнів, підтримки, розвитку учнівських ініціатив та процесу самореалізації лідерів учнівського самоврядування професійно-технічних навчальних закладів.</w:t>
      </w:r>
    </w:p>
    <w:p w:rsidR="00EC7E29" w:rsidRDefault="00EC7E29" w:rsidP="00EC7E29">
      <w:pPr>
        <w:spacing w:before="30" w:line="360" w:lineRule="auto"/>
        <w:ind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numPr>
          <w:ilvl w:val="1"/>
          <w:numId w:val="1"/>
        </w:numPr>
        <w:spacing w:before="30"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 конкурсу є:</w:t>
      </w:r>
    </w:p>
    <w:p w:rsidR="00EC7E29" w:rsidRDefault="00EC7E29" w:rsidP="00EC7E29">
      <w:pPr>
        <w:pStyle w:val="a3"/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учнів до усвідомленої і систематичної участі у вирішенні важливих питань життя групи та професійно-технічного навчального закладу;</w:t>
      </w:r>
    </w:p>
    <w:p w:rsidR="00EC7E29" w:rsidRDefault="00EC7E29" w:rsidP="00EC7E29">
      <w:pPr>
        <w:spacing w:line="360" w:lineRule="auto"/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</w:t>
      </w:r>
      <w:r>
        <w:rPr>
          <w:bCs/>
          <w:sz w:val="28"/>
          <w:szCs w:val="28"/>
          <w:lang w:val="uk-UA"/>
        </w:rPr>
        <w:t>можливостей для самореалізації учнів в конкретних справах;</w:t>
      </w:r>
    </w:p>
    <w:p w:rsidR="00EC7E29" w:rsidRDefault="00EC7E29" w:rsidP="00EC7E29">
      <w:pPr>
        <w:pStyle w:val="a3"/>
        <w:tabs>
          <w:tab w:val="left" w:pos="709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розвиток почуття власної гідності, досягнення індивідуальної і суспільної мети;</w:t>
      </w:r>
      <w:r>
        <w:rPr>
          <w:sz w:val="28"/>
          <w:szCs w:val="28"/>
          <w:lang w:val="uk-UA"/>
        </w:rPr>
        <w:t xml:space="preserve"> </w:t>
      </w:r>
    </w:p>
    <w:p w:rsidR="00EC7E29" w:rsidRDefault="00EC7E29" w:rsidP="00EC7E29">
      <w:pPr>
        <w:pStyle w:val="a3"/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нових форм і методів роботи;</w:t>
      </w:r>
    </w:p>
    <w:p w:rsidR="00EC7E29" w:rsidRDefault="00EC7E29" w:rsidP="00EC7E29">
      <w:pPr>
        <w:pStyle w:val="a3"/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узагальнення та поширення кращого досвіду роботи.</w:t>
      </w:r>
    </w:p>
    <w:p w:rsidR="00EC7E29" w:rsidRDefault="00EC7E29" w:rsidP="00EC7E29">
      <w:pPr>
        <w:widowControl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1.3. Загальне керівництво підготовкою та проведенням конкурсу здійснює: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і науки, молоді та спорту Хмельницької обласної державної адміністрації;</w:t>
      </w:r>
    </w:p>
    <w:p w:rsidR="00EC7E29" w:rsidRDefault="00EC7E29" w:rsidP="00EC7E2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Хмельницький державний центр естетичного виховання учнівської </w:t>
      </w:r>
      <w:r>
        <w:rPr>
          <w:sz w:val="28"/>
          <w:szCs w:val="28"/>
          <w:lang w:val="uk-UA"/>
        </w:rPr>
        <w:lastRenderedPageBreak/>
        <w:t>молоді.</w:t>
      </w:r>
    </w:p>
    <w:p w:rsidR="00EC7E29" w:rsidRDefault="00EC7E29" w:rsidP="00EC7E29">
      <w:pPr>
        <w:pStyle w:val="a3"/>
        <w:tabs>
          <w:tab w:val="left" w:pos="1005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7E29" w:rsidRDefault="00EC7E29" w:rsidP="00EC7E29">
      <w:pPr>
        <w:pStyle w:val="a3"/>
        <w:tabs>
          <w:tab w:val="left" w:pos="1005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Використання та обробка персональних даних здійснюється згідно вимог Закону України «Про захист персональних даних».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Порядок і термін проведення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360"/>
        <w:jc w:val="center"/>
        <w:rPr>
          <w:b/>
          <w:lang w:val="uk-UA"/>
        </w:rPr>
      </w:pPr>
    </w:p>
    <w:p w:rsidR="00EC7E29" w:rsidRDefault="00EC7E29" w:rsidP="00EC7E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2.1. Конкурс проводиться у квітні-травні в непарний рік.</w:t>
      </w:r>
    </w:p>
    <w:p w:rsidR="00EC7E29" w:rsidRDefault="00EC7E29" w:rsidP="00EC7E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Склад оргкомітету і журі конкурсу затверджується департаментом освіти і науки, молоді та спорту Хмельницької обласної державної адміністрації.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Оргкомітет конкурсу: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терміни проведення відповідних етапів конкурсу та доводить їх до відома учасників;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організаційні заходи щодо проведення відповідних етапів конкурсу.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Умови участі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 участі у конкурсі запрошуються учні професійно-технічних навчальних закладів області.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ab/>
        <w:t>3.2.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конкурс подається проектна пропозиція, яка спрямована на вирішення актуальних соціальних питань розвитку учнівського самоврядування.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C7E29" w:rsidRDefault="00EC7E29" w:rsidP="00EC7E29">
      <w:pPr>
        <w:pStyle w:val="a3"/>
        <w:tabs>
          <w:tab w:val="left" w:pos="0"/>
          <w:tab w:val="left" w:pos="900"/>
          <w:tab w:val="left" w:pos="4365"/>
          <w:tab w:val="center" w:pos="4819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 Матеріали на конкурс надсилаються Хмельницькому державному центрі естетичного виховання учнівської молоді за місцем </w:t>
      </w:r>
      <w:r>
        <w:rPr>
          <w:sz w:val="28"/>
          <w:szCs w:val="28"/>
          <w:lang w:val="uk-UA"/>
        </w:rPr>
        <w:lastRenderedPageBreak/>
        <w:t xml:space="preserve">знаходження: </w:t>
      </w:r>
      <w:smartTag w:uri="urn:schemas-microsoft-com:office:smarttags" w:element="metricconverter">
        <w:smartTagPr>
          <w:attr w:name="ProductID" w:val="29013, м"/>
        </w:smartTagPr>
        <w:r>
          <w:rPr>
            <w:sz w:val="28"/>
            <w:szCs w:val="28"/>
            <w:lang w:val="uk-UA"/>
          </w:rPr>
          <w:t>29013, м</w:t>
        </w:r>
      </w:smartTag>
      <w:r>
        <w:rPr>
          <w:sz w:val="28"/>
          <w:szCs w:val="28"/>
          <w:lang w:val="uk-UA"/>
        </w:rPr>
        <w:t xml:space="preserve">. Хмельницький, вул.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янецька</w:t>
      </w:r>
      <w:proofErr w:type="spellEnd"/>
      <w:r>
        <w:rPr>
          <w:sz w:val="28"/>
          <w:szCs w:val="28"/>
          <w:lang w:val="uk-UA"/>
        </w:rPr>
        <w:t>, 57.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EC7E29" w:rsidRDefault="00EC7E29" w:rsidP="00EC7E29">
      <w:pPr>
        <w:pStyle w:val="a3"/>
        <w:tabs>
          <w:tab w:val="left" w:pos="0"/>
          <w:tab w:val="left" w:pos="4365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0"/>
          <w:tab w:val="left" w:pos="4365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Умови проведення</w:t>
      </w:r>
    </w:p>
    <w:p w:rsidR="00EC7E29" w:rsidRDefault="00EC7E29" w:rsidP="00EC7E29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7E29" w:rsidRDefault="00EC7E29" w:rsidP="00EC7E29">
      <w:pPr>
        <w:pStyle w:val="a3"/>
        <w:tabs>
          <w:tab w:val="left" w:pos="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Проектна пропозиція має містити не більше 10 сторінок.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 титульній сторінці зазначається професійно-технічний навчальний заклад, назва проекту, потенційні спонсори, виконавці проекту, керівник проекту.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Проектна пропозиція має містити анотацію - короткий виклад проектної пропозиції (обсяг - 1 сторінка). В анотації коротко описується проблема, мета та завдання проекту, проектні заходи, прогнозовані результати, вартість виконання проекту та коротка інформацію про виконавця.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проекту формулюється чітко та конкретизується через завдання. Формулювання завдань має містити відповідь на таке питання: яких змін зазнає наявний стан справ після втілення відповідного проекту? Завдання мають бути чіткими, реальними та обмеженими в часі.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Проектна пропозиція має містити інформацію про: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основну проблему групи, навчального закладу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яку вирішить втілення відповідного проекту. Обсяг  до 1 сторінки;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цільову групу проекту – групу (групи) населення та організацію (організації), на які поширюватиметься проектна діяльність; 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 - сподівані результати та користь від реалізації проекту для цільових груп, а також подальший вплив проекту (обсяг до 1 сторінки);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моніторинг і оцінювання проекту, де відображається відстеження ходу реалізації заходів проекту для досягнення його мети і завдань, </w:t>
      </w:r>
      <w:r>
        <w:rPr>
          <w:sz w:val="28"/>
          <w:szCs w:val="28"/>
          <w:lang w:val="uk-UA"/>
        </w:rPr>
        <w:lastRenderedPageBreak/>
        <w:t>зазначаються кількісні та якісні показники, за якими визначатиметься, чи досягнуто поставлених у проекті завдань;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дій - детальний графік виконання проекту. Зазначається зміст запланованих заходів, термін їх виконання, відповідальні особи за виконання (обсяг до 1 сторінки);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 проекту – фінансування ходу виконання проекту. Бюджет показує, скільки коштів і від кого отримує група чи організація для виконання проекту та куди вона їх спрямовує. Бюджет складається після написання проекту.</w:t>
      </w:r>
    </w:p>
    <w:p w:rsidR="00EC7E29" w:rsidRDefault="00EC7E29" w:rsidP="00EC7E29">
      <w:pPr>
        <w:pStyle w:val="a3"/>
        <w:tabs>
          <w:tab w:val="left" w:pos="90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Проектна пропозиція може містити додатки, що </w:t>
      </w:r>
      <w:r>
        <w:rPr>
          <w:color w:val="000000"/>
          <w:sz w:val="28"/>
          <w:szCs w:val="28"/>
          <w:lang w:val="uk-UA"/>
        </w:rPr>
        <w:t>пояснюють або доповнюють її зміст.</w:t>
      </w:r>
    </w:p>
    <w:p w:rsidR="00EC7E29" w:rsidRDefault="00EC7E29" w:rsidP="00EC7E2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EC7E2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Критерії оцінювання </w:t>
      </w:r>
    </w:p>
    <w:p w:rsidR="00EC7E29" w:rsidRDefault="00EC7E29" w:rsidP="00EC7E29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Оцінювання робіт конкурсантів здійснюється журі за 15-бальною системою, враховуючи такі критерії: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вчасність подачі робіт на конкурс і відповідність вимогам;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естетичне оформлення робіт;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проекту:</w:t>
      </w:r>
    </w:p>
    <w:p w:rsidR="00EC7E29" w:rsidRDefault="00EC7E29" w:rsidP="00EC7E29">
      <w:pPr>
        <w:spacing w:line="360" w:lineRule="auto"/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анотації;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проблеми, яку вирішить втілення даного проекту;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чітка постановка мети і завдання проекту;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зазначення цільової групи проекту;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опису очікуваних результатів;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представлення плану дій;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моніторингу і оцінювання;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реальність впровадження проекту на основі його бюджету;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додатки.</w:t>
      </w: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 Роботи, які не відповідають зазначеним у цьому Положенні вимогам, не розглядаються.</w:t>
      </w:r>
    </w:p>
    <w:p w:rsidR="00EC7E29" w:rsidRDefault="00EC7E29" w:rsidP="00EC7E29">
      <w:pPr>
        <w:widowControl/>
        <w:tabs>
          <w:tab w:val="left" w:pos="411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C7E29" w:rsidRDefault="00EC7E29" w:rsidP="00EC7E29">
      <w:pPr>
        <w:widowControl/>
        <w:tabs>
          <w:tab w:val="left" w:pos="411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Pr="00EC7E2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Підведення підсумків та нагородження</w:t>
      </w:r>
    </w:p>
    <w:p w:rsidR="00EC7E29" w:rsidRDefault="00EC7E29" w:rsidP="00EC7E29">
      <w:pPr>
        <w:widowControl/>
        <w:tabs>
          <w:tab w:val="left" w:pos="411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Підсумки здійснюються журі конкурсу згідно з критеріями оцінювання.</w:t>
      </w: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Переможці (1 місце) та призери (2, 3 місце) визначаються за критеріями оцінювання.</w:t>
      </w: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Якщо кількість балів рівна, місця поділяються між учасниками.</w:t>
      </w: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</w:p>
    <w:p w:rsidR="00EC7E29" w:rsidRDefault="00EC7E29" w:rsidP="00EC7E29">
      <w:pPr>
        <w:pStyle w:val="a3"/>
        <w:tabs>
          <w:tab w:val="left" w:pos="1080"/>
        </w:tabs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Переможці конкурсу нагороджуються дипломами департаменту освіти і науки, молоді та спорту Хмельницької обласної державної адміністрації.</w:t>
      </w:r>
    </w:p>
    <w:p w:rsidR="00EC7E29" w:rsidRDefault="00EC7E29" w:rsidP="00EC7E29">
      <w:pPr>
        <w:pStyle w:val="a3"/>
        <w:spacing w:line="360" w:lineRule="auto"/>
        <w:ind w:left="0" w:firstLine="360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spacing w:line="360" w:lineRule="auto"/>
        <w:ind w:left="0"/>
        <w:rPr>
          <w:b/>
          <w:sz w:val="28"/>
          <w:szCs w:val="28"/>
          <w:lang w:val="uk-UA"/>
        </w:rPr>
      </w:pPr>
    </w:p>
    <w:p w:rsidR="00EC7E29" w:rsidRDefault="00EC7E29" w:rsidP="00EC7E29">
      <w:pPr>
        <w:pStyle w:val="a3"/>
        <w:spacing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ХДЦЕВУМ                                                                  Т.В.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</w:p>
    <w:p w:rsidR="007E7216" w:rsidRDefault="007E7216"/>
    <w:sectPr w:rsidR="007E7216" w:rsidSect="007E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1C4"/>
    <w:multiLevelType w:val="multilevel"/>
    <w:tmpl w:val="72B6400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1125"/>
      </w:pPr>
    </w:lvl>
    <w:lvl w:ilvl="2">
      <w:start w:val="1"/>
      <w:numFmt w:val="decimal"/>
      <w:lvlText w:val="%1.%2.%3."/>
      <w:lvlJc w:val="left"/>
      <w:pPr>
        <w:tabs>
          <w:tab w:val="num" w:pos="3953"/>
        </w:tabs>
        <w:ind w:left="3953" w:hanging="1125"/>
      </w:p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125"/>
      </w:pPr>
    </w:lvl>
    <w:lvl w:ilvl="4">
      <w:start w:val="1"/>
      <w:numFmt w:val="decimal"/>
      <w:lvlText w:val="%1.%2.%3.%4.%5."/>
      <w:lvlJc w:val="left"/>
      <w:pPr>
        <w:tabs>
          <w:tab w:val="num" w:pos="6781"/>
        </w:tabs>
        <w:ind w:left="6781" w:hanging="1125"/>
      </w:pPr>
    </w:lvl>
    <w:lvl w:ilvl="5">
      <w:start w:val="1"/>
      <w:numFmt w:val="decimal"/>
      <w:lvlText w:val="%1.%2.%3.%4.%5.%6."/>
      <w:lvlJc w:val="left"/>
      <w:pPr>
        <w:tabs>
          <w:tab w:val="num" w:pos="8510"/>
        </w:tabs>
        <w:ind w:left="8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84"/>
        </w:tabs>
        <w:ind w:left="102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98"/>
        </w:tabs>
        <w:ind w:left="116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72"/>
        </w:tabs>
        <w:ind w:left="134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7E29"/>
    <w:rsid w:val="007E7216"/>
    <w:rsid w:val="00E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2015-04-21T07:47:00Z</dcterms:created>
  <dcterms:modified xsi:type="dcterms:W3CDTF">2015-04-21T07:48:00Z</dcterms:modified>
</cp:coreProperties>
</file>